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1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</wp:posOffset>
                </wp:positionH>
                <wp:positionV relativeFrom="paragraph">
                  <wp:posOffset>43815</wp:posOffset>
                </wp:positionV>
                <wp:extent cx="5781675" cy="5508625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550862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73C9F" w:rsidRDefault="00000000" w:rsidRPr="00000000">
                            <w:pPr>
                              <w:pStyle w:val="BodyText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eastAsia="Ryumin" w:hAnsi="Times New Roman"/>
                                <w:b w:val="0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1076340">
                              <w:rPr>
                                <w:rFonts w:ascii="Times New Roman" w:eastAsia="Ryumin" w:hAnsi="Times New Roman"/>
                                <w:b w:val="1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Government of the People’s Republic of Bangladesh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Default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eastAsia="Ryumin" w:hAnsi="Times New Roman"/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094962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Local Government Engineering Department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0949620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Resilient Infrastructure for Adaptation and 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w w:val="100"/>
                                <w:position w:val="-1"/>
                                <w:sz w:val="19"/>
                                <w:szCs w:val="19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0949620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Vulnerabi</w:t>
                            </w:r>
                            <w:r w:rsidDel="000000-1" w:rsidR="03619999" w:rsidRPr="10949620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lity Reduction (RIVER) Project</w:t>
                            </w:r>
                            <w:r w:rsidDel="000000-1" w:rsidR="03619999" w:rsidRPr="03699580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19"/>
                                <w:szCs w:val="19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Default"/>
                              <w:suppressAutoHyphens w:val="1"/>
                              <w:spacing w:before="30"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eastAsia="Ryumin" w:hAnsi="Times New Roman"/>
                                <w:b w:val="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369958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Workshop Bhaban (Leve</w:t>
                            </w:r>
                            <w:r w:rsidDel="000000-1" w:rsidR="03619999" w:rsidRPr="0369958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l-3), Agargaon,</w:t>
                            </w:r>
                            <w:r w:rsidDel="000000-1" w:rsidR="03619999" w:rsidRPr="1141445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0369958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Default"/>
                              <w:suppressAutoHyphens w:val="1"/>
                              <w:spacing w:before="30"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eastAsia="Ryumin" w:hAnsi="Times New Roman"/>
                                <w:b w:val="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369958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Sher-e-Bangla Nagar, Dhaka-1207</w:t>
                            </w:r>
                            <w:r w:rsidDel="000000-1" w:rsidR="03619999" w:rsidRPr="0369958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Default"/>
                              <w:suppressAutoHyphens w:val="1"/>
                              <w:spacing w:before="30"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cs="Times New Roman" w:eastAsia="Ryumin" w:hAnsi="Times New Roman"/>
                                <w:b w:val="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3699580">
                              <w:rPr>
                                <w:rFonts w:ascii="Times New Roman" w:cs="Times New Roman" w:eastAsia="Ryumin" w:hAnsi="Times New Roman"/>
                                <w:b w:val="1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www.lged.gov.bd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1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4490598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1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BodyText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Memo No.:</w:t>
                            </w:r>
                            <w:r w:rsidDel="000000-1" w:rsidR="03619999" w:rsidRPr="16539353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16539353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46.02.0000.</w:t>
                            </w:r>
                            <w:r w:rsidDel="000000-1" w:rsidR="03619999" w:rsidRPr="13372786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670.07.02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4</w:t>
                            </w:r>
                            <w:r w:rsidDel="000000-1" w:rsidR="03619999" w:rsidRPr="13372786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.202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5</w:t>
                            </w:r>
                            <w:r w:rsidDel="000000-1" w:rsidR="03619999" w:rsidRPr="13372786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-</w:t>
                            </w:r>
                            <w:r w:rsidDel="000000-1" w:rsidR="0728615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1110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ab/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ab/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    </w:t>
                              <w:tab/>
                              <w:t xml:space="preserve">   </w:t>
                            </w:r>
                            <w:r w:rsidDel="000000-1" w:rsidR="03619999" w:rsidRPr="000000-1">
                              <w:rPr>
                                <w:rFonts w:ascii="Times New Roman" w:hAnsi="Times New Roman" w:hint="cs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1"/>
                                <w:em w:val="none"/>
                                <w:lang w:bidi="bn-BD"/>
                              </w:rPr>
                              <w:t xml:space="preserve">       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Date: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12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/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08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/20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2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5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   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9793788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1</w:t>
                            </w:r>
                            <w:r w:rsidDel="000000-1" w:rsidR="03619999" w:rsidRPr="1672034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superscript"/>
                                <w:cs w:val="0"/>
                                <w:em w:val="none"/>
                                <w:lang/>
                              </w:rPr>
                              <w:t>st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 Corrigendum</w:t>
                            </w:r>
                            <w:r w:rsidDel="000000-1" w:rsidR="03619999" w:rsidRPr="04275767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16539353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Notice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 (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e-</w:t>
                            </w:r>
                            <w:r w:rsidDel="000000-1" w:rsidR="03619999" w:rsidRPr="16539353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Tender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)</w:t>
                            </w:r>
                            <w:r w:rsidDel="000000-1" w:rsidR="03619999" w:rsidRPr="16539353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6539353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Tender Notice N</w:t>
                            </w:r>
                            <w:r w:rsidDel="000000-1" w:rsidR="03619999" w:rsidRPr="16539353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o</w:t>
                            </w:r>
                            <w:r w:rsidDel="000000-1" w:rsidR="03619999" w:rsidRPr="04794789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. 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color w:val="ff000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2</w:t>
                            </w:r>
                            <w:r w:rsidDel="000000-1" w:rsidR="03619999" w:rsidRPr="01195366">
                              <w:rPr>
                                <w:rFonts w:ascii="Times New Roman" w:hAnsi="Times New Roman"/>
                                <w:b w:val="1"/>
                                <w:color w:val="ff000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/202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color w:val="ff000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5</w:t>
                            </w:r>
                            <w:r w:rsidDel="000000-1" w:rsidR="03619999" w:rsidRPr="01195366">
                              <w:rPr>
                                <w:rFonts w:ascii="Times New Roman" w:hAnsi="Times New Roman"/>
                                <w:b w:val="1"/>
                                <w:color w:val="ff000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-202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color w:val="ff000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6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color w:val="ff000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0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9793788">
                              <w:rPr>
                                <w:rFonts w:ascii="Times New Roman" w:hAnsi="Times New Roman"/>
                                <w:b w:val="1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Corrigendum notice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issued 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in the Nationa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l e-GP Portal System (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fldChar w:fldCharType="begin"/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instrText> HYPERLINK "http://eprocu</w:instrTex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instrText xml:space="preserve">re.gov.bd" </w:instrTex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fldChar w:fldCharType="separate"/>
                            </w:r>
                            <w:r w:rsidDel="000000-1" w:rsidR="03619999" w:rsidRPr="14424521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http://eprocure.gov.bd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fldChar w:fldCharType="end"/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) for the procurement of following </w:t>
                            </w:r>
                            <w:r w:rsidDel="000000-1" w:rsidR="03619999" w:rsidRPr="000000-1">
                              <w:rPr>
                                <w:rFonts w:ascii="Times New Roman" w:hAnsi="Times New Roman" w:hint="cs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1"/>
                                <w:em w:val="none"/>
                                <w:lang w:bidi="bn-BD"/>
                              </w:rPr>
                              <w:t>works</w:t>
                            </w:r>
                            <w:r w:rsidDel="000000-1" w:rsidR="03619999" w:rsidRPr="1442452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 details are given bellow: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8898.0" w:type="dxa"/>
                              <w:jc w:val="left"/>
                              <w:tblInd w:w="108.0" w:type="dxa"/>
                              <w:tblBorders>
                                <w:top w:color="auto" w:space="0" w:sz="4" w:val="single"/>
                                <w:left w:color="auto" w:space="0" w:sz="4" w:val="single"/>
                                <w:bottom w:color="auto" w:space="0" w:sz="4" w:val="single"/>
                                <w:right w:color="auto" w:space="0" w:sz="4" w:val="single"/>
                                <w:insideH w:color="auto" w:space="0" w:sz="4" w:val="single"/>
                                <w:insideV w:color="auto" w:space="0" w:sz="4" w:val="single"/>
                              </w:tblBorders>
                              <w:tblLayout w:type="autofit"/>
                              <w:tblCellMar>
                                <w:top w:w="0.0" w:type="dxa"/>
                                <w:left w:w="58.0" w:type="dxa"/>
                                <w:bottom w:w="0.0" w:type="dxa"/>
                                <w:right w:w="58.0" w:type="dxa"/>
                              </w:tblCellMar>
                            </w:tblPr>
                            <w:tblGrid>
                              <w:gridCol w:w="411"/>
                              <w:gridCol w:w="1444"/>
                              <w:gridCol w:w="2415"/>
                              <w:gridCol w:w="1080"/>
                              <w:gridCol w:w="1170"/>
                              <w:gridCol w:w="1170"/>
                              <w:gridCol w:w="1208"/>
                            </w:tblGrid>
                            <w:tr>
                              <w:trPr>
                                <w:wBefore w:w="0.0" w:type="dxa"/>
                                <w:cantSplit w:val="1"/>
                                <w:tblHeader w:val="0"/>
                                <w:jc w:val="left"/>
                              </w:trPr>
                              <w:tc>
                                <w:tcPr>
                                  <w:tcW w:w="411.0" w:type="dxa"/>
                                  <w:gridSpan w:val="1"/>
                                  <w:vMerge w:val="restart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Sl. No.</w:t>
                                  </w:r>
                                </w:p>
                              </w:tc>
                              <w:tc>
                                <w:tcPr>
                                  <w:tcW w:w="1444.0" w:type="dxa"/>
                                  <w:gridSpan w:val="1"/>
                                  <w:vMerge w:val="restart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Tender ID</w:t>
                                  </w:r>
                                  <w:r w:rsidDel="000000-1" w:rsidR="03619999" w:rsidRPr="14424521">
                                    <w:rPr>
                                      <w:rFonts w:ascii="Times New Roman" w:cs="Shonar Bangla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IN"/>
                                    </w:rPr>
                                    <w:t> &amp;</w:t>
                                  </w:r>
                                  <w:r w:rsidDel="000000-1" w:rsidR="03619999" w:rsidRPr="14424521">
                                    <w:rPr>
                                      <w:rFonts w:ascii="Times New Roman" w:cs="Shonar Bangla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IN"/>
                                    </w:rPr>
                                    <w:t xml:space="preserve"> 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Name of the Project</w:t>
                                  </w:r>
                                </w:p>
                              </w:tc>
                              <w:tc>
                                <w:tcPr>
                                  <w:tcW w:w="2415.0" w:type="dxa"/>
                                  <w:gridSpan w:val="1"/>
                                  <w:vMerge w:val="restart"/>
                                  <w:vAlign w:val="top"/>
                                </w:tcPr>
                                <w:p w:rsidR="00000000" w:rsidDel="00000000" w:rsidP="00D97414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Descript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ion of 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Works 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0.0" w:type="dxa"/>
                                  <w:gridSpan w:val="2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Tender Last Selling </w:t>
                                    <w:cr/>
                                  </w:r>
                                </w:p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(Time &amp; Date)</w:t>
                                  </w:r>
                                </w:p>
                              </w:tc>
                              <w:tc>
                                <w:tcPr>
                                  <w:tcW w:w="2378.0" w:type="dxa"/>
                                  <w:gridSpan w:val="2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Tender 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Closing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 &amp; Opening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 </w:t>
                                    <w:cr/>
                                  </w:r>
                                </w:p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(Time &amp; Date)</w:t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1"/>
                                <w:tblHeader w:val="0"/>
                                <w:jc w:val="left"/>
                              </w:trPr>
                              <w:tc>
                                <w:tcPr>
                                  <w:tcW w:w="411.0" w:type="dxa"/>
                                  <w:gridSpan w:val="1"/>
                                  <w:vMerge w:val="continue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4.0" w:type="dxa"/>
                                  <w:gridSpan w:val="1"/>
                                  <w:vMerge w:val="continue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.0" w:type="dxa"/>
                                  <w:gridSpan w:val="1"/>
                                  <w:vMerge w:val="continue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42452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0.0" w:type="dxa"/>
                                  <w:gridSpan w:val="1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>As original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0.0" w:type="dxa"/>
                                  <w:gridSpan w:val="1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>As amended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0.0" w:type="dxa"/>
                                  <w:gridSpan w:val="1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>As original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8.0" w:type="dxa"/>
                                  <w:gridSpan w:val="1"/>
                                  <w:vAlign w:val="top"/>
                                </w:tcPr>
                                <w:p w:rsidR="00000000" w:rsidDel="00000000" w:rsidP="00327BB8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>As amended</w:t>
                                  </w:r>
                                  <w:r w:rsidDel="000000-1" w:rsidR="03619999" w:rsidRPr="14424521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blHeader w:val="0"/>
                                <w:jc w:val="left"/>
                              </w:trPr>
                              <w:tc>
                                <w:tcPr>
                                  <w:tcW w:w="411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4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5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0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0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08.0" w:type="dxa"/>
                                  <w:gridSpan w:val="1"/>
                                  <w:vAlign w:val="top"/>
                                </w:tcPr>
                                <w:p w:rsidR="00000000" w:rsidDel="00000000" w:rsidP="00D6615A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4166839"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6"/>
                                      <w:szCs w:val="16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blHeader w:val="0"/>
                                <w:jc w:val="left"/>
                              </w:trPr>
                              <w:tc>
                                <w:tcPr>
                                  <w:tcW w:w="411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44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>1</w:t>
                                  </w:r>
                                  <w:r w:rsidDel="000000-1" w:rsidR="03619999" w:rsidRPr="03619999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>131617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 xml:space="preserve"> &amp; Resilient Infrastructure for Adaptation and </w:t>
                                    <w:cr/>
                                  </w:r>
                                </w:p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 xml:space="preserve">Vulnerability Reduction (RIVER) Project 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 w:hint="cs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 xml:space="preserve"> 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cs="Vrind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cs="Vrind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C</w:t>
                                  </w:r>
                                  <w:r w:rsidDel="000000-1" w:rsidR="03619999" w:rsidRPr="11298490">
                                    <w:rPr>
                                      <w:rFonts w:ascii="Times New Roman" w:cs="Vrind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 xml:space="preserve">onstruction of 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1"/>
                                      <w:em w:val="none"/>
                                      <w:lang w:bidi="bn-BD"/>
                                    </w:rPr>
                                    <w:t xml:space="preserve">Primary School 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c</w:t>
                                  </w:r>
                                  <w:r w:rsidDel="000000-1" w:rsidR="03619999" w:rsidRPr="11298490">
                                    <w:rPr>
                                      <w:rFonts w:ascii="Times New Roman" w:cs="Cambri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um Flood Shelter with Sol</w:t>
                                  </w:r>
                                  <w:r w:rsidDel="000000-1" w:rsidR="03619999" w:rsidRPr="11298490">
                                    <w:rPr>
                                      <w:rFonts w:ascii="Times New Roman" w:cs="Cambri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ar PV Nano Grid, Street Light, Lightening Protec</w:t>
                                  </w:r>
                                  <w:r w:rsidDel="000000-1" w:rsidR="03619999" w:rsidRPr="11298490">
                                    <w:rPr>
                                      <w:rFonts w:ascii="Times New Roman" w:cs="Cambri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tion &amp; Connecting Roads, Bridge/Culvert, Furniture and Tree Plantation at</w:t>
                                  </w:r>
                                  <w:r w:rsidDel="000000-1" w:rsidR="03619999" w:rsidRPr="000000-1">
                                    <w:rPr>
                                      <w:rFonts w:ascii="Times New Roman" w:cs="Cambri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 xml:space="preserve"> </w:t>
                                  </w:r>
                                  <w:r w:rsidDel="000000-1" w:rsidR="03619999" w:rsidRPr="000000-1">
                                    <w:rPr>
                                      <w:rFonts w:ascii="Times New Roman" w:cs="Cambri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Pabna</w:t>
                                  </w:r>
                                  <w:r w:rsidDel="000000-1" w:rsidR="03619999" w:rsidRPr="11298490">
                                    <w:rPr>
                                      <w:rFonts w:ascii="Times New Roman" w:cs="Cambri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 xml:space="preserve"> </w:t>
                                  </w:r>
                                  <w:r w:rsidDel="000000-1" w:rsidR="03619999" w:rsidRPr="11298490">
                                    <w:rPr>
                                      <w:rFonts w:ascii="Times New Roman" w:cs="Vrinda" w:hAnsi="Times New Roman"/>
                                      <w:w w:val="100"/>
                                      <w:position w:val="-1"/>
                                      <w:sz w:val="20"/>
                                      <w:szCs w:val="25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bidi="bn-BD"/>
                                    </w:rPr>
                                    <w:t>District.</w:t>
                                    <w:cr/>
                                  </w:r>
                                </w:p>
                                <w:p w:rsidR="00000000" w:rsidDel="00000000" w:rsidP="00E130CE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(Package No.: LGED/RIVER/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PABN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/21-22/NW-0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8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17.00 hrs</w:t>
                                    <w:cr/>
                                  </w:r>
                                </w:p>
                                <w:p w:rsidR="00000000" w:rsidDel="00000000" w:rsidP="00E130CE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26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Aug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-2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5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0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17.00 hrs</w:t>
                                    <w:cr/>
                                  </w:r>
                                </w:p>
                                <w:p w:rsidR="00000000" w:rsidDel="00000000" w:rsidP="008F21E4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01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Se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p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-2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5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70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14.00 hrs</w:t>
                                    <w:cr/>
                                  </w:r>
                                </w:p>
                                <w:p w:rsidR="00000000" w:rsidDel="00000000" w:rsidP="008F21E4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27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Aug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-2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5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8.0" w:type="dxa"/>
                                  <w:gridSpan w:val="1"/>
                                  <w:vAlign w:val="top"/>
                                </w:tcPr>
                                <w:p w:rsidR="00000000" w:rsidDel="00000000" w:rsidP="00194001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14.00 hrs</w:t>
                                    <w:cr/>
                                  </w:r>
                                </w:p>
                                <w:p w:rsidR="00000000" w:rsidDel="00000000" w:rsidP="008F21E4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02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Sep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-2</w:t>
                                  </w:r>
                                  <w:r w:rsidDel="000000-1" w:rsidR="0361999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5</w:t>
                                  </w:r>
                                  <w:r w:rsidDel="000000-1" w:rsidR="03619999" w:rsidRPr="11298490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0"/>
                                      <w:szCs w:val="20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9793788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9793788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Others conditions will remain uncha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nged. 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504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bn-BD"/>
                              </w:rPr>
                            </w:pPr>
                            <w:r w:rsidDel="000000-1" w:rsidR="03619999" w:rsidRPr="0311269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bn-BD"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tabs>
                                <w:tab w:val="left" w:leader="none" w:pos="720"/>
                                <w:tab w:val="left" w:leader="none" w:pos="1845"/>
                              </w:tabs>
                              <w:suppressAutoHyphens w:val="1"/>
                              <w:spacing w:line="1" w:lineRule="atLeast"/>
                              <w:ind w:left="504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4662334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Project Director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tabs>
                                <w:tab w:val="left" w:leader="none" w:pos="720"/>
                                <w:tab w:val="left" w:leader="none" w:pos="1845"/>
                              </w:tabs>
                              <w:suppressAutoHyphens w:val="1"/>
                              <w:spacing w:line="1" w:lineRule="atLeast"/>
                              <w:ind w:left="504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4662334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Phone: +88-02-55006730  </w:t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tabs>
                                <w:tab w:val="left" w:leader="none" w:pos="720"/>
                                <w:tab w:val="left" w:leader="none" w:pos="1845"/>
                              </w:tabs>
                              <w:suppressAutoHyphens w:val="1"/>
                              <w:spacing w:line="1" w:lineRule="atLeast"/>
                              <w:ind w:left="504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4662334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Email: pd.lged.river@gmail.com</w:t>
                            </w:r>
                            <w:r w:rsidDel="000000-1" w:rsidR="0361999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73C9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360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cs="Arial" w:hAnsi="Arial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14424521">
                              <w:rPr>
                                <w:rFonts w:ascii="Arial" w:cs="Arial" w:hAnsi="Arial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61999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</wp:posOffset>
                </wp:positionH>
                <wp:positionV relativeFrom="paragraph">
                  <wp:posOffset>43815</wp:posOffset>
                </wp:positionV>
                <wp:extent cx="5781675" cy="55086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550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ind w:right="13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3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3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4" w:w="11909" w:orient="portrait"/>
      <w:pgMar w:bottom="288" w:top="720" w:left="1253" w:right="864" w:header="432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Book Antiqua"/>
  <w:font w:name="SutonnyMJ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Com-3/D:\RIVER Project\RIVER letter\e-GP Notice.doc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Com-3/D:\RIVER Project\RIVER letter\e-GP Notice.doc 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744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utonnyMJ" w:cs="SutonnyMJ" w:eastAsia="SutonnyMJ" w:hAnsi="SutonnyMJ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SutonnyMJ" w:cs="SutonnyMJ" w:eastAsia="SutonnyMJ" w:hAnsi="SutonnyMJ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110"/>
      </w:tabs>
      <w:spacing w:line="288" w:lineRule="auto"/>
      <w:ind w:left="360"/>
    </w:pPr>
    <w:rPr>
      <w:rFonts w:ascii="SutonnyMJ" w:cs="SutonnyMJ" w:eastAsia="SutonnyMJ" w:hAnsi="SutonnyMJ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6"/>
      <w:szCs w:val="26"/>
      <w:vertAlign w:val="baseline"/>
    </w:rPr>
  </w:style>
  <w:style w:type="paragraph" w:styleId="Heading5">
    <w:name w:val="heading 5"/>
    <w:basedOn w:val="Normal"/>
    <w:next w:val="Normal"/>
    <w:pPr>
      <w:keepNext w:val="1"/>
      <w:ind w:firstLine="360"/>
      <w:jc w:val="center"/>
    </w:pPr>
    <w:rPr>
      <w:rFonts w:ascii="Times New Roman" w:cs="Times New Roman" w:eastAsia="Times New Roman" w:hAnsi="Times New Roman"/>
      <w:sz w:val="26"/>
      <w:szCs w:val="26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SutonnyMJ" w:cs="SutonnyMJ" w:eastAsia="SutonnyMJ" w:hAnsi="SutonnyMJ"/>
      <w:sz w:val="44"/>
      <w:szCs w:val="4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